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1D130" w14:textId="77777777" w:rsidR="00992FAC" w:rsidRPr="00992FAC" w:rsidRDefault="00992FAC" w:rsidP="00992FAC">
      <w:pPr>
        <w:pStyle w:val="Title"/>
        <w:rPr>
          <w:rFonts w:asciiTheme="minorHAnsi" w:hAnsiTheme="minorHAnsi"/>
          <w:sz w:val="28"/>
          <w:szCs w:val="28"/>
        </w:rPr>
      </w:pPr>
      <w:r w:rsidRPr="00992FAC">
        <w:rPr>
          <w:rFonts w:asciiTheme="minorHAnsi" w:hAnsiTheme="minorHAnsi"/>
          <w:sz w:val="28"/>
          <w:szCs w:val="28"/>
        </w:rPr>
        <w:t xml:space="preserve">Complaints Handling Process </w:t>
      </w:r>
    </w:p>
    <w:p w14:paraId="6222F25B" w14:textId="77777777" w:rsidR="00992FAC" w:rsidRPr="00992FAC" w:rsidRDefault="00992FAC" w:rsidP="00992FAC">
      <w:pPr>
        <w:pStyle w:val="BodyText"/>
        <w:spacing w:before="186" w:line="259" w:lineRule="auto"/>
        <w:ind w:right="116"/>
        <w:jc w:val="both"/>
        <w:rPr>
          <w:rFonts w:asciiTheme="minorHAnsi" w:hAnsiTheme="minorHAnsi"/>
          <w:sz w:val="18"/>
          <w:szCs w:val="18"/>
        </w:rPr>
      </w:pPr>
      <w:r w:rsidRPr="00992FAC">
        <w:rPr>
          <w:rFonts w:asciiTheme="minorHAnsi" w:hAnsiTheme="minorHAnsi"/>
          <w:sz w:val="18"/>
          <w:szCs w:val="18"/>
        </w:rPr>
        <w:t>At Crowes Property Surveys Ltd, our aim is always to meet your expectations and deliver sound and reliable advice.</w:t>
      </w:r>
    </w:p>
    <w:p w14:paraId="71B877AE" w14:textId="77777777" w:rsidR="00992FAC" w:rsidRPr="00992FAC" w:rsidRDefault="00992FAC" w:rsidP="00992FAC">
      <w:pPr>
        <w:pStyle w:val="BodyText"/>
        <w:spacing w:before="159" w:line="259" w:lineRule="auto"/>
        <w:ind w:right="115"/>
        <w:jc w:val="both"/>
        <w:rPr>
          <w:rFonts w:asciiTheme="minorHAnsi" w:hAnsiTheme="minorHAnsi"/>
          <w:sz w:val="18"/>
          <w:szCs w:val="18"/>
        </w:rPr>
      </w:pPr>
      <w:r w:rsidRPr="00992FAC">
        <w:rPr>
          <w:rFonts w:asciiTheme="minorHAnsi" w:hAnsiTheme="minorHAnsi"/>
          <w:sz w:val="18"/>
          <w:szCs w:val="18"/>
        </w:rPr>
        <w:t>Sometimes, however, you may have cause to question our service either because you are not happy or are not clear about something.</w:t>
      </w:r>
    </w:p>
    <w:p w14:paraId="4CD43A42" w14:textId="77777777" w:rsidR="00992FAC" w:rsidRPr="00992FAC" w:rsidRDefault="00992FAC" w:rsidP="00992FAC">
      <w:pPr>
        <w:pStyle w:val="BodyText"/>
        <w:spacing w:before="159"/>
        <w:jc w:val="both"/>
        <w:rPr>
          <w:rFonts w:asciiTheme="minorHAnsi" w:hAnsiTheme="minorHAnsi"/>
          <w:sz w:val="18"/>
          <w:szCs w:val="18"/>
        </w:rPr>
      </w:pPr>
      <w:r w:rsidRPr="00992FAC">
        <w:rPr>
          <w:rFonts w:asciiTheme="minorHAnsi" w:hAnsiTheme="minorHAnsi"/>
          <w:sz w:val="18"/>
          <w:szCs w:val="18"/>
        </w:rPr>
        <w:t>In such circumstances we will do everything possible to answer your questions promptly and clearly.</w:t>
      </w:r>
    </w:p>
    <w:p w14:paraId="04CBCD1F" w14:textId="6A134EF9" w:rsidR="00992FAC" w:rsidRPr="00992FAC" w:rsidRDefault="00992FAC" w:rsidP="00992FAC">
      <w:pPr>
        <w:pStyle w:val="BodyText"/>
        <w:spacing w:before="183" w:line="259" w:lineRule="auto"/>
        <w:ind w:right="114"/>
        <w:jc w:val="both"/>
        <w:rPr>
          <w:rFonts w:asciiTheme="minorHAnsi" w:hAnsiTheme="minorHAnsi"/>
          <w:sz w:val="18"/>
          <w:szCs w:val="18"/>
        </w:rPr>
      </w:pPr>
      <w:r w:rsidRPr="00992FAC">
        <w:rPr>
          <w:rFonts w:asciiTheme="minorHAnsi" w:hAnsiTheme="minorHAnsi"/>
          <w:sz w:val="18"/>
          <w:szCs w:val="18"/>
        </w:rPr>
        <w:t xml:space="preserve">In the first instance, please give us a clear description of your question or concern to make sure that we have a full understanding of it. You can do this by writing to us </w:t>
      </w:r>
      <w:r w:rsidRPr="00992FAC">
        <w:rPr>
          <w:rFonts w:asciiTheme="minorHAnsi" w:hAnsiTheme="minorHAnsi"/>
          <w:sz w:val="18"/>
          <w:szCs w:val="18"/>
        </w:rPr>
        <w:t>at: -</w:t>
      </w:r>
    </w:p>
    <w:p w14:paraId="1988DB42" w14:textId="77777777" w:rsidR="00992FAC" w:rsidRPr="00992FAC" w:rsidRDefault="00992FAC" w:rsidP="00992FAC">
      <w:pPr>
        <w:pStyle w:val="BodyText"/>
        <w:spacing w:before="160" w:line="259" w:lineRule="auto"/>
        <w:ind w:right="5425"/>
        <w:rPr>
          <w:rFonts w:asciiTheme="minorHAnsi" w:hAnsiTheme="minorHAnsi"/>
          <w:sz w:val="18"/>
          <w:szCs w:val="18"/>
        </w:rPr>
      </w:pPr>
      <w:r w:rsidRPr="00992FAC">
        <w:rPr>
          <w:rFonts w:asciiTheme="minorHAnsi" w:hAnsiTheme="minorHAnsi"/>
          <w:sz w:val="18"/>
          <w:szCs w:val="18"/>
        </w:rPr>
        <w:t xml:space="preserve">Crowes Property Surveys Ltd, </w:t>
      </w:r>
    </w:p>
    <w:p w14:paraId="325020E9" w14:textId="77777777" w:rsidR="00992FAC" w:rsidRPr="00992FAC" w:rsidRDefault="00992FAC" w:rsidP="00992FAC">
      <w:pPr>
        <w:pStyle w:val="BodyText"/>
        <w:spacing w:before="160" w:line="259" w:lineRule="auto"/>
        <w:ind w:right="5425"/>
        <w:rPr>
          <w:rFonts w:asciiTheme="minorHAnsi" w:hAnsiTheme="minorHAnsi"/>
          <w:sz w:val="18"/>
          <w:szCs w:val="18"/>
        </w:rPr>
      </w:pPr>
      <w:r w:rsidRPr="00992FAC">
        <w:rPr>
          <w:rFonts w:asciiTheme="minorHAnsi" w:hAnsiTheme="minorHAnsi"/>
          <w:sz w:val="18"/>
          <w:szCs w:val="18"/>
        </w:rPr>
        <w:t>276 High Street, Guildford, Surrey GU1 3JL</w:t>
      </w:r>
    </w:p>
    <w:p w14:paraId="470B4B62" w14:textId="3CF5226F" w:rsidR="00992FAC" w:rsidRPr="00992FAC" w:rsidRDefault="00992FAC" w:rsidP="00992FAC">
      <w:pPr>
        <w:pStyle w:val="BodyText"/>
        <w:spacing w:before="160" w:line="259" w:lineRule="auto"/>
        <w:ind w:right="5425"/>
        <w:rPr>
          <w:rFonts w:asciiTheme="minorHAnsi" w:hAnsiTheme="minorHAnsi"/>
          <w:sz w:val="18"/>
          <w:szCs w:val="18"/>
        </w:rPr>
      </w:pPr>
      <w:hyperlink r:id="rId5" w:history="1">
        <w:r w:rsidRPr="0099312C">
          <w:rPr>
            <w:rStyle w:val="Hyperlink"/>
            <w:rFonts w:asciiTheme="minorHAnsi" w:hAnsiTheme="minorHAnsi"/>
            <w:sz w:val="18"/>
            <w:szCs w:val="18"/>
          </w:rPr>
          <w:t>Tim.crowe@crowesproperty</w:t>
        </w:r>
        <w:r w:rsidRPr="0099312C">
          <w:rPr>
            <w:rStyle w:val="Hyperlink"/>
            <w:rFonts w:asciiTheme="minorHAnsi" w:hAnsiTheme="minorHAnsi"/>
            <w:sz w:val="18"/>
            <w:szCs w:val="18"/>
          </w:rPr>
          <w:t>surveys</w:t>
        </w:r>
        <w:r w:rsidRPr="0099312C">
          <w:rPr>
            <w:rStyle w:val="Hyperlink"/>
            <w:rFonts w:asciiTheme="minorHAnsi" w:hAnsiTheme="minorHAnsi"/>
            <w:sz w:val="18"/>
            <w:szCs w:val="18"/>
          </w:rPr>
          <w:t>.com</w:t>
        </w:r>
      </w:hyperlink>
      <w:r w:rsidRPr="00992FAC">
        <w:rPr>
          <w:rFonts w:asciiTheme="minorHAnsi" w:hAnsiTheme="minorHAnsi"/>
          <w:sz w:val="18"/>
          <w:szCs w:val="18"/>
        </w:rPr>
        <w:t xml:space="preserve"> </w:t>
      </w:r>
    </w:p>
    <w:p w14:paraId="1757C60C" w14:textId="77777777" w:rsidR="00992FAC" w:rsidRPr="00992FAC" w:rsidRDefault="00992FAC" w:rsidP="00992FAC">
      <w:pPr>
        <w:pStyle w:val="BodyText"/>
        <w:spacing w:line="256" w:lineRule="auto"/>
        <w:ind w:right="6124"/>
        <w:rPr>
          <w:rFonts w:asciiTheme="minorHAnsi" w:hAnsiTheme="minorHAnsi"/>
          <w:sz w:val="18"/>
          <w:szCs w:val="18"/>
        </w:rPr>
      </w:pPr>
      <w:r w:rsidRPr="00992FAC">
        <w:rPr>
          <w:rFonts w:asciiTheme="minorHAnsi" w:hAnsiTheme="minorHAnsi"/>
          <w:sz w:val="18"/>
          <w:szCs w:val="18"/>
        </w:rPr>
        <w:t xml:space="preserve">01483 267181 </w:t>
      </w:r>
    </w:p>
    <w:p w14:paraId="1D556CDD" w14:textId="1EAC9C7C" w:rsidR="00992FAC" w:rsidRPr="00992FAC" w:rsidRDefault="00992FAC" w:rsidP="00992FAC">
      <w:pPr>
        <w:pStyle w:val="BodyText"/>
        <w:spacing w:line="256" w:lineRule="auto"/>
        <w:ind w:right="6124"/>
        <w:rPr>
          <w:rFonts w:asciiTheme="minorHAnsi" w:hAnsiTheme="minorHAnsi"/>
          <w:sz w:val="18"/>
          <w:szCs w:val="18"/>
        </w:rPr>
      </w:pPr>
      <w:r w:rsidRPr="00992FAC">
        <w:rPr>
          <w:rFonts w:asciiTheme="minorHAnsi" w:hAnsiTheme="minorHAnsi"/>
          <w:sz w:val="18"/>
          <w:szCs w:val="18"/>
        </w:rPr>
        <w:t>www.crowespropertysurveys.co</w:t>
      </w:r>
      <w:r w:rsidRPr="00992FAC">
        <w:rPr>
          <w:rFonts w:asciiTheme="minorHAnsi" w:hAnsiTheme="minorHAnsi"/>
          <w:sz w:val="18"/>
          <w:szCs w:val="18"/>
        </w:rPr>
        <w:t>m</w:t>
      </w:r>
    </w:p>
    <w:p w14:paraId="713E1E18" w14:textId="77777777" w:rsidR="00992FAC" w:rsidRPr="00992FAC" w:rsidRDefault="00992FAC" w:rsidP="00992FAC">
      <w:pPr>
        <w:pStyle w:val="BodyText"/>
        <w:spacing w:before="165"/>
        <w:jc w:val="both"/>
        <w:rPr>
          <w:rFonts w:asciiTheme="minorHAnsi" w:hAnsiTheme="minorHAnsi"/>
          <w:sz w:val="18"/>
          <w:szCs w:val="18"/>
        </w:rPr>
      </w:pPr>
      <w:r w:rsidRPr="00992FAC">
        <w:rPr>
          <w:rFonts w:asciiTheme="minorHAnsi" w:hAnsiTheme="minorHAnsi"/>
          <w:sz w:val="18"/>
          <w:szCs w:val="18"/>
        </w:rPr>
        <w:t xml:space="preserve">We </w:t>
      </w:r>
      <w:proofErr w:type="gramStart"/>
      <w:r w:rsidRPr="00992FAC">
        <w:rPr>
          <w:rFonts w:asciiTheme="minorHAnsi" w:hAnsiTheme="minorHAnsi"/>
          <w:sz w:val="18"/>
          <w:szCs w:val="18"/>
        </w:rPr>
        <w:t>will:-</w:t>
      </w:r>
      <w:proofErr w:type="gramEnd"/>
    </w:p>
    <w:p w14:paraId="77156751" w14:textId="77777777" w:rsidR="00992FAC" w:rsidRPr="00992FAC" w:rsidRDefault="00992FAC" w:rsidP="00992FAC">
      <w:pPr>
        <w:pStyle w:val="ListParagraph"/>
        <w:widowControl w:val="0"/>
        <w:numPr>
          <w:ilvl w:val="0"/>
          <w:numId w:val="1"/>
        </w:numPr>
        <w:tabs>
          <w:tab w:val="left" w:pos="821"/>
        </w:tabs>
        <w:autoSpaceDE w:val="0"/>
        <w:autoSpaceDN w:val="0"/>
        <w:spacing w:before="180" w:after="0" w:line="240" w:lineRule="auto"/>
        <w:ind w:hanging="361"/>
        <w:contextualSpacing w:val="0"/>
        <w:jc w:val="both"/>
        <w:rPr>
          <w:sz w:val="18"/>
          <w:szCs w:val="18"/>
        </w:rPr>
      </w:pPr>
      <w:r w:rsidRPr="00992FAC">
        <w:rPr>
          <w:sz w:val="18"/>
          <w:szCs w:val="18"/>
        </w:rPr>
        <w:t>Acknowledge your communication within three working</w:t>
      </w:r>
      <w:r w:rsidRPr="00992FAC">
        <w:rPr>
          <w:spacing w:val="-9"/>
          <w:sz w:val="18"/>
          <w:szCs w:val="18"/>
        </w:rPr>
        <w:t xml:space="preserve"> </w:t>
      </w:r>
      <w:r w:rsidRPr="00992FAC">
        <w:rPr>
          <w:sz w:val="18"/>
          <w:szCs w:val="18"/>
        </w:rPr>
        <w:t>days.</w:t>
      </w:r>
    </w:p>
    <w:p w14:paraId="0B297E26" w14:textId="77777777" w:rsidR="00992FAC" w:rsidRPr="00992FAC" w:rsidRDefault="00992FAC" w:rsidP="00992FAC">
      <w:pPr>
        <w:pStyle w:val="ListParagraph"/>
        <w:widowControl w:val="0"/>
        <w:numPr>
          <w:ilvl w:val="0"/>
          <w:numId w:val="1"/>
        </w:numPr>
        <w:tabs>
          <w:tab w:val="left" w:pos="821"/>
        </w:tabs>
        <w:autoSpaceDE w:val="0"/>
        <w:autoSpaceDN w:val="0"/>
        <w:spacing w:before="22" w:after="0" w:line="259" w:lineRule="auto"/>
        <w:ind w:right="118"/>
        <w:contextualSpacing w:val="0"/>
        <w:jc w:val="both"/>
        <w:rPr>
          <w:sz w:val="18"/>
          <w:szCs w:val="18"/>
        </w:rPr>
      </w:pPr>
      <w:r w:rsidRPr="00992FAC">
        <w:rPr>
          <w:sz w:val="18"/>
          <w:szCs w:val="18"/>
        </w:rPr>
        <w:t>Investigate your concerns and respond fully and in writing within 15 working days of receipt of your</w:t>
      </w:r>
      <w:r w:rsidRPr="00992FAC">
        <w:rPr>
          <w:spacing w:val="-3"/>
          <w:sz w:val="18"/>
          <w:szCs w:val="18"/>
        </w:rPr>
        <w:t xml:space="preserve"> </w:t>
      </w:r>
      <w:r w:rsidRPr="00992FAC">
        <w:rPr>
          <w:sz w:val="18"/>
          <w:szCs w:val="18"/>
        </w:rPr>
        <w:t>communication.</w:t>
      </w:r>
    </w:p>
    <w:p w14:paraId="51D924B0" w14:textId="77777777" w:rsidR="00992FAC" w:rsidRPr="00992FAC" w:rsidRDefault="00992FAC" w:rsidP="00992FAC">
      <w:pPr>
        <w:pStyle w:val="ListParagraph"/>
        <w:widowControl w:val="0"/>
        <w:numPr>
          <w:ilvl w:val="0"/>
          <w:numId w:val="1"/>
        </w:numPr>
        <w:tabs>
          <w:tab w:val="left" w:pos="821"/>
        </w:tabs>
        <w:autoSpaceDE w:val="0"/>
        <w:autoSpaceDN w:val="0"/>
        <w:spacing w:after="0" w:line="259" w:lineRule="auto"/>
        <w:ind w:right="113"/>
        <w:contextualSpacing w:val="0"/>
        <w:jc w:val="both"/>
        <w:rPr>
          <w:sz w:val="18"/>
          <w:szCs w:val="18"/>
        </w:rPr>
      </w:pPr>
      <w:r w:rsidRPr="00992FAC">
        <w:rPr>
          <w:sz w:val="18"/>
          <w:szCs w:val="18"/>
        </w:rPr>
        <w:t>Keep you informed if there is any delay to the above timeframe. For example, we may need to carry out some further inspections or investigations to provide you with a comprehensive answer.</w:t>
      </w:r>
    </w:p>
    <w:p w14:paraId="12614636" w14:textId="5183EF0C" w:rsidR="00992FAC" w:rsidRPr="00992FAC" w:rsidRDefault="00992FAC" w:rsidP="00992FAC">
      <w:pPr>
        <w:pStyle w:val="BodyText"/>
        <w:spacing w:before="158" w:line="259" w:lineRule="auto"/>
        <w:ind w:right="116"/>
        <w:jc w:val="both"/>
        <w:rPr>
          <w:rFonts w:asciiTheme="minorHAnsi" w:hAnsiTheme="minorHAnsi"/>
          <w:sz w:val="18"/>
          <w:szCs w:val="18"/>
        </w:rPr>
      </w:pPr>
      <w:r w:rsidRPr="00992FAC">
        <w:rPr>
          <w:rFonts w:asciiTheme="minorHAnsi" w:hAnsiTheme="minorHAnsi"/>
          <w:sz w:val="18"/>
          <w:szCs w:val="18"/>
        </w:rPr>
        <w:t xml:space="preserve">If you are not satisfied with the answer and would like </w:t>
      </w:r>
      <w:r w:rsidRPr="00992FAC">
        <w:rPr>
          <w:rFonts w:asciiTheme="minorHAnsi" w:hAnsiTheme="minorHAnsi"/>
          <w:sz w:val="18"/>
          <w:szCs w:val="18"/>
        </w:rPr>
        <w:t>further</w:t>
      </w:r>
      <w:r w:rsidRPr="00992FAC">
        <w:rPr>
          <w:rFonts w:asciiTheme="minorHAnsi" w:hAnsiTheme="minorHAnsi"/>
          <w:sz w:val="18"/>
          <w:szCs w:val="18"/>
        </w:rPr>
        <w:t xml:space="preserve"> </w:t>
      </w:r>
      <w:proofErr w:type="gramStart"/>
      <w:r w:rsidRPr="00992FAC">
        <w:rPr>
          <w:rFonts w:asciiTheme="minorHAnsi" w:hAnsiTheme="minorHAnsi"/>
          <w:sz w:val="18"/>
          <w:szCs w:val="18"/>
        </w:rPr>
        <w:t>review</w:t>
      </w:r>
      <w:proofErr w:type="gramEnd"/>
      <w:r w:rsidRPr="00992FAC">
        <w:rPr>
          <w:rFonts w:asciiTheme="minorHAnsi" w:hAnsiTheme="minorHAnsi"/>
          <w:sz w:val="18"/>
          <w:szCs w:val="18"/>
        </w:rPr>
        <w:t xml:space="preserve"> then </w:t>
      </w:r>
      <w:proofErr w:type="gramStart"/>
      <w:r w:rsidRPr="00992FAC">
        <w:rPr>
          <w:rFonts w:asciiTheme="minorHAnsi" w:hAnsiTheme="minorHAnsi"/>
          <w:sz w:val="18"/>
          <w:szCs w:val="18"/>
        </w:rPr>
        <w:t>let</w:t>
      </w:r>
      <w:proofErr w:type="gramEnd"/>
      <w:r w:rsidRPr="00992FAC">
        <w:rPr>
          <w:rFonts w:asciiTheme="minorHAnsi" w:hAnsiTheme="minorHAnsi"/>
          <w:sz w:val="18"/>
          <w:szCs w:val="18"/>
        </w:rPr>
        <w:t xml:space="preserve"> us know and we will provide a final viewpoint within 15 days of your request for a review.       </w:t>
      </w:r>
    </w:p>
    <w:p w14:paraId="38CF4A07" w14:textId="77777777" w:rsidR="00992FAC" w:rsidRPr="00992FAC" w:rsidRDefault="00992FAC" w:rsidP="00992FAC">
      <w:pPr>
        <w:pStyle w:val="BodyText"/>
        <w:spacing w:before="160" w:line="259" w:lineRule="auto"/>
        <w:ind w:right="361"/>
        <w:rPr>
          <w:rFonts w:asciiTheme="minorHAnsi" w:hAnsiTheme="minorHAnsi"/>
          <w:sz w:val="18"/>
          <w:szCs w:val="18"/>
        </w:rPr>
      </w:pPr>
      <w:r w:rsidRPr="00992FAC">
        <w:rPr>
          <w:rFonts w:asciiTheme="minorHAnsi" w:hAnsiTheme="minorHAnsi"/>
          <w:sz w:val="18"/>
          <w:szCs w:val="18"/>
        </w:rPr>
        <w:t>With our final viewpoint we will provide details of how you can contact The Property Ombudsman who offer an independent redress scheme of which we are members. This service is provided without charge to you.</w:t>
      </w:r>
    </w:p>
    <w:p w14:paraId="0357C22B" w14:textId="7FEA9EBC" w:rsidR="00992FAC" w:rsidRPr="00992FAC" w:rsidRDefault="00992FAC" w:rsidP="00992FAC">
      <w:pPr>
        <w:pStyle w:val="BodyText"/>
        <w:spacing w:before="181" w:line="259" w:lineRule="auto"/>
        <w:ind w:right="6765"/>
        <w:rPr>
          <w:rFonts w:asciiTheme="minorHAnsi" w:hAnsiTheme="minorHAnsi"/>
          <w:sz w:val="18"/>
          <w:szCs w:val="18"/>
        </w:rPr>
      </w:pPr>
      <w:r w:rsidRPr="00992FAC">
        <w:rPr>
          <w:rFonts w:asciiTheme="minorHAnsi" w:hAnsiTheme="minorHAnsi"/>
          <w:sz w:val="18"/>
          <w:szCs w:val="18"/>
        </w:rPr>
        <w:t xml:space="preserve">The </w:t>
      </w:r>
      <w:r w:rsidRPr="00992FAC">
        <w:rPr>
          <w:rFonts w:asciiTheme="minorHAnsi" w:hAnsiTheme="minorHAnsi"/>
          <w:sz w:val="18"/>
          <w:szCs w:val="18"/>
        </w:rPr>
        <w:t>Property Ombudsman</w:t>
      </w:r>
      <w:r w:rsidRPr="00992FAC">
        <w:rPr>
          <w:rFonts w:asciiTheme="minorHAnsi" w:hAnsiTheme="minorHAnsi"/>
          <w:sz w:val="18"/>
          <w:szCs w:val="18"/>
        </w:rPr>
        <w:t xml:space="preserve">, </w:t>
      </w:r>
    </w:p>
    <w:p w14:paraId="58C09402" w14:textId="77777777" w:rsidR="00992FAC" w:rsidRPr="00992FAC" w:rsidRDefault="00992FAC" w:rsidP="00992FAC">
      <w:pPr>
        <w:pStyle w:val="BodyText"/>
        <w:spacing w:before="181" w:line="259" w:lineRule="auto"/>
        <w:ind w:right="6765"/>
        <w:rPr>
          <w:rFonts w:asciiTheme="minorHAnsi" w:hAnsiTheme="minorHAnsi"/>
          <w:sz w:val="18"/>
          <w:szCs w:val="18"/>
        </w:rPr>
      </w:pPr>
      <w:r w:rsidRPr="00992FAC">
        <w:rPr>
          <w:rFonts w:asciiTheme="minorHAnsi" w:hAnsiTheme="minorHAnsi"/>
          <w:sz w:val="18"/>
          <w:szCs w:val="18"/>
        </w:rPr>
        <w:t>Milford House,</w:t>
      </w:r>
    </w:p>
    <w:p w14:paraId="6EFAE6E4" w14:textId="77777777" w:rsidR="00992FAC" w:rsidRPr="00992FAC" w:rsidRDefault="00992FAC" w:rsidP="00992FAC">
      <w:pPr>
        <w:pStyle w:val="BodyText"/>
        <w:spacing w:line="259" w:lineRule="auto"/>
        <w:ind w:right="7308"/>
        <w:rPr>
          <w:rFonts w:asciiTheme="minorHAnsi" w:hAnsiTheme="minorHAnsi"/>
          <w:sz w:val="18"/>
          <w:szCs w:val="18"/>
        </w:rPr>
      </w:pPr>
      <w:r w:rsidRPr="00992FAC">
        <w:rPr>
          <w:rFonts w:asciiTheme="minorHAnsi" w:hAnsiTheme="minorHAnsi"/>
          <w:sz w:val="18"/>
          <w:szCs w:val="18"/>
        </w:rPr>
        <w:t>43-55 Milford Street, Salisbury</w:t>
      </w:r>
    </w:p>
    <w:p w14:paraId="2A78B4B0" w14:textId="77777777" w:rsidR="00992FAC" w:rsidRPr="00992FAC" w:rsidRDefault="00992FAC" w:rsidP="00992FAC">
      <w:pPr>
        <w:pStyle w:val="BodyText"/>
        <w:spacing w:line="259" w:lineRule="auto"/>
        <w:ind w:right="7866"/>
        <w:rPr>
          <w:rFonts w:asciiTheme="minorHAnsi" w:hAnsiTheme="minorHAnsi"/>
          <w:sz w:val="18"/>
          <w:szCs w:val="18"/>
        </w:rPr>
      </w:pPr>
      <w:r w:rsidRPr="00992FAC">
        <w:rPr>
          <w:rFonts w:asciiTheme="minorHAnsi" w:hAnsiTheme="minorHAnsi"/>
          <w:sz w:val="18"/>
          <w:szCs w:val="18"/>
        </w:rPr>
        <w:t xml:space="preserve">SP1 2BP </w:t>
      </w:r>
    </w:p>
    <w:p w14:paraId="73B88127" w14:textId="77777777" w:rsidR="00992FAC" w:rsidRPr="00992FAC" w:rsidRDefault="00992FAC" w:rsidP="00992FAC">
      <w:pPr>
        <w:pStyle w:val="BodyText"/>
        <w:spacing w:line="259" w:lineRule="auto"/>
        <w:ind w:right="7443"/>
        <w:rPr>
          <w:rFonts w:asciiTheme="minorHAnsi" w:hAnsiTheme="minorHAnsi"/>
          <w:sz w:val="16"/>
          <w:szCs w:val="16"/>
        </w:rPr>
      </w:pPr>
      <w:hyperlink r:id="rId6">
        <w:r w:rsidRPr="00992FAC">
          <w:rPr>
            <w:rFonts w:asciiTheme="minorHAnsi" w:hAnsiTheme="minorHAnsi"/>
            <w:sz w:val="18"/>
            <w:szCs w:val="18"/>
          </w:rPr>
          <w:t>www.tpos.co.uk</w:t>
        </w:r>
      </w:hyperlink>
      <w:r w:rsidRPr="00992FAC">
        <w:rPr>
          <w:rFonts w:asciiTheme="minorHAnsi" w:hAnsiTheme="minorHAnsi"/>
          <w:sz w:val="18"/>
          <w:szCs w:val="18"/>
        </w:rPr>
        <w:t xml:space="preserve"> </w:t>
      </w:r>
      <w:hyperlink r:id="rId7" w:history="1">
        <w:r w:rsidRPr="00992FAC">
          <w:rPr>
            <w:rStyle w:val="Hyperlink"/>
            <w:rFonts w:asciiTheme="minorHAnsi" w:hAnsiTheme="minorHAnsi"/>
            <w:color w:val="156082" w:themeColor="accent1"/>
            <w:sz w:val="16"/>
            <w:szCs w:val="16"/>
          </w:rPr>
          <w:t>admin@tpos.co.</w:t>
        </w:r>
      </w:hyperlink>
      <w:r w:rsidRPr="00992FAC">
        <w:rPr>
          <w:rFonts w:asciiTheme="minorHAnsi" w:hAnsiTheme="minorHAnsi"/>
          <w:color w:val="156082" w:themeColor="accent1"/>
          <w:sz w:val="16"/>
          <w:szCs w:val="16"/>
          <w:u w:val="single"/>
        </w:rPr>
        <w:t>uk</w:t>
      </w:r>
    </w:p>
    <w:p w14:paraId="083F9E5F" w14:textId="77777777" w:rsidR="00992FAC" w:rsidRPr="00992FAC" w:rsidRDefault="00992FAC" w:rsidP="00992FAC">
      <w:pPr>
        <w:pStyle w:val="BodyText"/>
        <w:spacing w:before="179" w:line="259" w:lineRule="auto"/>
        <w:ind w:right="525"/>
        <w:rPr>
          <w:rFonts w:asciiTheme="minorHAnsi" w:hAnsiTheme="minorHAnsi"/>
          <w:sz w:val="18"/>
          <w:szCs w:val="18"/>
        </w:rPr>
      </w:pPr>
      <w:r w:rsidRPr="00992FAC">
        <w:rPr>
          <w:rFonts w:asciiTheme="minorHAnsi" w:hAnsiTheme="minorHAnsi"/>
          <w:sz w:val="18"/>
          <w:szCs w:val="18"/>
        </w:rPr>
        <w:t xml:space="preserve">Timescale - you must </w:t>
      </w:r>
      <w:proofErr w:type="gramStart"/>
      <w:r w:rsidRPr="00992FAC">
        <w:rPr>
          <w:rFonts w:asciiTheme="minorHAnsi" w:hAnsiTheme="minorHAnsi"/>
          <w:sz w:val="18"/>
          <w:szCs w:val="18"/>
        </w:rPr>
        <w:t>refer</w:t>
      </w:r>
      <w:proofErr w:type="gramEnd"/>
      <w:r w:rsidRPr="00992FAC">
        <w:rPr>
          <w:rFonts w:asciiTheme="minorHAnsi" w:hAnsiTheme="minorHAnsi"/>
          <w:sz w:val="18"/>
          <w:szCs w:val="18"/>
        </w:rPr>
        <w:t xml:space="preserve"> your complaint to the ombudsman within 12 months of receiving our final viewpoint.</w:t>
      </w:r>
    </w:p>
    <w:p w14:paraId="6195139A" w14:textId="77777777" w:rsidR="00992FAC" w:rsidRPr="00992FAC" w:rsidRDefault="00992FAC">
      <w:pPr>
        <w:rPr>
          <w:sz w:val="18"/>
          <w:szCs w:val="18"/>
        </w:rPr>
      </w:pPr>
    </w:p>
    <w:sectPr w:rsidR="00992FAC" w:rsidRPr="00992F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072B0E"/>
    <w:multiLevelType w:val="hybridMultilevel"/>
    <w:tmpl w:val="D2B04B82"/>
    <w:lvl w:ilvl="0" w:tplc="0FEE659E">
      <w:start w:val="1"/>
      <w:numFmt w:val="decimal"/>
      <w:lvlText w:val="%1."/>
      <w:lvlJc w:val="left"/>
      <w:pPr>
        <w:ind w:left="820" w:hanging="360"/>
        <w:jc w:val="left"/>
      </w:pPr>
      <w:rPr>
        <w:rFonts w:ascii="Carlito" w:eastAsia="Carlito" w:hAnsi="Carlito" w:cs="Carlito" w:hint="default"/>
        <w:w w:val="100"/>
        <w:sz w:val="22"/>
        <w:szCs w:val="22"/>
        <w:lang w:val="en-US" w:eastAsia="en-US" w:bidi="ar-SA"/>
      </w:rPr>
    </w:lvl>
    <w:lvl w:ilvl="1" w:tplc="D24C492A">
      <w:numFmt w:val="bullet"/>
      <w:lvlText w:val="•"/>
      <w:lvlJc w:val="left"/>
      <w:pPr>
        <w:ind w:left="1662" w:hanging="360"/>
      </w:pPr>
      <w:rPr>
        <w:rFonts w:hint="default"/>
        <w:lang w:val="en-US" w:eastAsia="en-US" w:bidi="ar-SA"/>
      </w:rPr>
    </w:lvl>
    <w:lvl w:ilvl="2" w:tplc="3CA6F4EC">
      <w:numFmt w:val="bullet"/>
      <w:lvlText w:val="•"/>
      <w:lvlJc w:val="left"/>
      <w:pPr>
        <w:ind w:left="2505" w:hanging="360"/>
      </w:pPr>
      <w:rPr>
        <w:rFonts w:hint="default"/>
        <w:lang w:val="en-US" w:eastAsia="en-US" w:bidi="ar-SA"/>
      </w:rPr>
    </w:lvl>
    <w:lvl w:ilvl="3" w:tplc="84ECB94C">
      <w:numFmt w:val="bullet"/>
      <w:lvlText w:val="•"/>
      <w:lvlJc w:val="left"/>
      <w:pPr>
        <w:ind w:left="3347" w:hanging="360"/>
      </w:pPr>
      <w:rPr>
        <w:rFonts w:hint="default"/>
        <w:lang w:val="en-US" w:eastAsia="en-US" w:bidi="ar-SA"/>
      </w:rPr>
    </w:lvl>
    <w:lvl w:ilvl="4" w:tplc="49D0122E">
      <w:numFmt w:val="bullet"/>
      <w:lvlText w:val="•"/>
      <w:lvlJc w:val="left"/>
      <w:pPr>
        <w:ind w:left="4190" w:hanging="360"/>
      </w:pPr>
      <w:rPr>
        <w:rFonts w:hint="default"/>
        <w:lang w:val="en-US" w:eastAsia="en-US" w:bidi="ar-SA"/>
      </w:rPr>
    </w:lvl>
    <w:lvl w:ilvl="5" w:tplc="DE6686D8">
      <w:numFmt w:val="bullet"/>
      <w:lvlText w:val="•"/>
      <w:lvlJc w:val="left"/>
      <w:pPr>
        <w:ind w:left="5033" w:hanging="360"/>
      </w:pPr>
      <w:rPr>
        <w:rFonts w:hint="default"/>
        <w:lang w:val="en-US" w:eastAsia="en-US" w:bidi="ar-SA"/>
      </w:rPr>
    </w:lvl>
    <w:lvl w:ilvl="6" w:tplc="B4046A74">
      <w:numFmt w:val="bullet"/>
      <w:lvlText w:val="•"/>
      <w:lvlJc w:val="left"/>
      <w:pPr>
        <w:ind w:left="5875" w:hanging="360"/>
      </w:pPr>
      <w:rPr>
        <w:rFonts w:hint="default"/>
        <w:lang w:val="en-US" w:eastAsia="en-US" w:bidi="ar-SA"/>
      </w:rPr>
    </w:lvl>
    <w:lvl w:ilvl="7" w:tplc="764A58DE">
      <w:numFmt w:val="bullet"/>
      <w:lvlText w:val="•"/>
      <w:lvlJc w:val="left"/>
      <w:pPr>
        <w:ind w:left="6718" w:hanging="360"/>
      </w:pPr>
      <w:rPr>
        <w:rFonts w:hint="default"/>
        <w:lang w:val="en-US" w:eastAsia="en-US" w:bidi="ar-SA"/>
      </w:rPr>
    </w:lvl>
    <w:lvl w:ilvl="8" w:tplc="A4E8E1EC">
      <w:numFmt w:val="bullet"/>
      <w:lvlText w:val="•"/>
      <w:lvlJc w:val="left"/>
      <w:pPr>
        <w:ind w:left="7561" w:hanging="360"/>
      </w:pPr>
      <w:rPr>
        <w:rFonts w:hint="default"/>
        <w:lang w:val="en-US" w:eastAsia="en-US" w:bidi="ar-SA"/>
      </w:rPr>
    </w:lvl>
  </w:abstractNum>
  <w:num w:numId="1" w16cid:durableId="1057048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FAC"/>
    <w:rsid w:val="00992FAC"/>
    <w:rsid w:val="00A24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8C989"/>
  <w15:chartTrackingRefBased/>
  <w15:docId w15:val="{AB228627-B15F-49BC-B88C-B4D7719C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F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F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F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F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F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F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F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F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F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F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F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F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F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F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F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FAC"/>
    <w:rPr>
      <w:rFonts w:eastAsiaTheme="majorEastAsia" w:cstheme="majorBidi"/>
      <w:color w:val="272727" w:themeColor="text1" w:themeTint="D8"/>
    </w:rPr>
  </w:style>
  <w:style w:type="paragraph" w:styleId="Title">
    <w:name w:val="Title"/>
    <w:basedOn w:val="Normal"/>
    <w:next w:val="Normal"/>
    <w:link w:val="TitleChar"/>
    <w:uiPriority w:val="10"/>
    <w:qFormat/>
    <w:rsid w:val="00992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F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F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F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FAC"/>
    <w:pPr>
      <w:spacing w:before="160"/>
      <w:jc w:val="center"/>
    </w:pPr>
    <w:rPr>
      <w:i/>
      <w:iCs/>
      <w:color w:val="404040" w:themeColor="text1" w:themeTint="BF"/>
    </w:rPr>
  </w:style>
  <w:style w:type="character" w:customStyle="1" w:styleId="QuoteChar">
    <w:name w:val="Quote Char"/>
    <w:basedOn w:val="DefaultParagraphFont"/>
    <w:link w:val="Quote"/>
    <w:uiPriority w:val="29"/>
    <w:rsid w:val="00992FAC"/>
    <w:rPr>
      <w:i/>
      <w:iCs/>
      <w:color w:val="404040" w:themeColor="text1" w:themeTint="BF"/>
    </w:rPr>
  </w:style>
  <w:style w:type="paragraph" w:styleId="ListParagraph">
    <w:name w:val="List Paragraph"/>
    <w:basedOn w:val="Normal"/>
    <w:uiPriority w:val="1"/>
    <w:qFormat/>
    <w:rsid w:val="00992FAC"/>
    <w:pPr>
      <w:ind w:left="720"/>
      <w:contextualSpacing/>
    </w:pPr>
  </w:style>
  <w:style w:type="character" w:styleId="IntenseEmphasis">
    <w:name w:val="Intense Emphasis"/>
    <w:basedOn w:val="DefaultParagraphFont"/>
    <w:uiPriority w:val="21"/>
    <w:qFormat/>
    <w:rsid w:val="00992FAC"/>
    <w:rPr>
      <w:i/>
      <w:iCs/>
      <w:color w:val="0F4761" w:themeColor="accent1" w:themeShade="BF"/>
    </w:rPr>
  </w:style>
  <w:style w:type="paragraph" w:styleId="IntenseQuote">
    <w:name w:val="Intense Quote"/>
    <w:basedOn w:val="Normal"/>
    <w:next w:val="Normal"/>
    <w:link w:val="IntenseQuoteChar"/>
    <w:uiPriority w:val="30"/>
    <w:qFormat/>
    <w:rsid w:val="00992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FAC"/>
    <w:rPr>
      <w:i/>
      <w:iCs/>
      <w:color w:val="0F4761" w:themeColor="accent1" w:themeShade="BF"/>
    </w:rPr>
  </w:style>
  <w:style w:type="character" w:styleId="IntenseReference">
    <w:name w:val="Intense Reference"/>
    <w:basedOn w:val="DefaultParagraphFont"/>
    <w:uiPriority w:val="32"/>
    <w:qFormat/>
    <w:rsid w:val="00992FAC"/>
    <w:rPr>
      <w:b/>
      <w:bCs/>
      <w:smallCaps/>
      <w:color w:val="0F4761" w:themeColor="accent1" w:themeShade="BF"/>
      <w:spacing w:val="5"/>
    </w:rPr>
  </w:style>
  <w:style w:type="paragraph" w:styleId="BodyText">
    <w:name w:val="Body Text"/>
    <w:basedOn w:val="Normal"/>
    <w:link w:val="BodyTextChar"/>
    <w:uiPriority w:val="1"/>
    <w:qFormat/>
    <w:rsid w:val="00992FAC"/>
    <w:pPr>
      <w:widowControl w:val="0"/>
      <w:autoSpaceDE w:val="0"/>
      <w:autoSpaceDN w:val="0"/>
      <w:spacing w:after="0" w:line="240" w:lineRule="auto"/>
      <w:ind w:left="100"/>
    </w:pPr>
    <w:rPr>
      <w:rFonts w:ascii="Carlito" w:eastAsia="Carlito" w:hAnsi="Carlito" w:cs="Carlito"/>
      <w:kern w:val="0"/>
      <w:sz w:val="22"/>
      <w:szCs w:val="22"/>
      <w:lang w:val="en-US"/>
      <w14:ligatures w14:val="none"/>
    </w:rPr>
  </w:style>
  <w:style w:type="character" w:customStyle="1" w:styleId="BodyTextChar">
    <w:name w:val="Body Text Char"/>
    <w:basedOn w:val="DefaultParagraphFont"/>
    <w:link w:val="BodyText"/>
    <w:uiPriority w:val="1"/>
    <w:rsid w:val="00992FAC"/>
    <w:rPr>
      <w:rFonts w:ascii="Carlito" w:eastAsia="Carlito" w:hAnsi="Carlito" w:cs="Carlito"/>
      <w:kern w:val="0"/>
      <w:sz w:val="22"/>
      <w:szCs w:val="22"/>
      <w:lang w:val="en-US"/>
      <w14:ligatures w14:val="none"/>
    </w:rPr>
  </w:style>
  <w:style w:type="character" w:styleId="Hyperlink">
    <w:name w:val="Hyperlink"/>
    <w:basedOn w:val="DefaultParagraphFont"/>
    <w:uiPriority w:val="99"/>
    <w:unhideWhenUsed/>
    <w:rsid w:val="00992FAC"/>
    <w:rPr>
      <w:color w:val="467886" w:themeColor="hyperlink"/>
      <w:u w:val="single"/>
    </w:rPr>
  </w:style>
  <w:style w:type="character" w:styleId="UnresolvedMention">
    <w:name w:val="Unresolved Mention"/>
    <w:basedOn w:val="DefaultParagraphFont"/>
    <w:uiPriority w:val="99"/>
    <w:semiHidden/>
    <w:unhideWhenUsed/>
    <w:rsid w:val="00992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tpos.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pos.co.uk/" TargetMode="External"/><Relationship Id="rId5" Type="http://schemas.openxmlformats.org/officeDocument/2006/relationships/hyperlink" Target="mailto:Tim.crowe@crowespropertysurvey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286</Words>
  <Characters>1539</Characters>
  <Application>Microsoft Office Word</Application>
  <DocSecurity>0</DocSecurity>
  <Lines>46</Lines>
  <Paragraphs>17</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Crowe</dc:creator>
  <cp:keywords/>
  <dc:description/>
  <cp:lastModifiedBy>Tim Crowe</cp:lastModifiedBy>
  <cp:revision>1</cp:revision>
  <dcterms:created xsi:type="dcterms:W3CDTF">2026-02-07T16:55:00Z</dcterms:created>
  <dcterms:modified xsi:type="dcterms:W3CDTF">2026-02-07T17:02:00Z</dcterms:modified>
</cp:coreProperties>
</file>